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F9" w:rsidRDefault="00E63969" w:rsidP="00E639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Thorndike Practice </w:t>
      </w:r>
    </w:p>
    <w:p w:rsidR="00E63969" w:rsidRDefault="00E63969" w:rsidP="00E63969">
      <w:pPr>
        <w:jc w:val="center"/>
        <w:rPr>
          <w:b/>
          <w:sz w:val="22"/>
          <w:szCs w:val="22"/>
          <w:u w:val="single"/>
        </w:rPr>
      </w:pPr>
      <w:r>
        <w:rPr>
          <w:b/>
          <w:sz w:val="28"/>
          <w:szCs w:val="28"/>
          <w:u w:val="single"/>
        </w:rPr>
        <w:t>Vaccination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E63969" w:rsidTr="00E63969">
        <w:tc>
          <w:tcPr>
            <w:tcW w:w="5778" w:type="dxa"/>
          </w:tcPr>
          <w:p w:rsidR="00E63969" w:rsidRPr="00E63969" w:rsidRDefault="00E63969" w:rsidP="00A9216B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Yellow Fever: </w:t>
            </w:r>
            <w:r>
              <w:rPr>
                <w:sz w:val="22"/>
                <w:szCs w:val="22"/>
              </w:rPr>
              <w:t xml:space="preserve"> </w:t>
            </w:r>
            <w:r w:rsidR="00A9216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This is a private service and you do not need to be a registered patient.  You will be issued with a certificate which is mandatory for entry to some countries. It is valid for 10 years</w:t>
            </w:r>
          </w:p>
        </w:tc>
        <w:tc>
          <w:tcPr>
            <w:tcW w:w="3464" w:type="dxa"/>
          </w:tcPr>
          <w:p w:rsidR="00A9216B" w:rsidRDefault="00A9216B" w:rsidP="00E63969">
            <w:pPr>
              <w:rPr>
                <w:sz w:val="22"/>
                <w:szCs w:val="22"/>
              </w:rPr>
            </w:pP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 :  £65.00</w:t>
            </w: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 : £65.00</w:t>
            </w:r>
          </w:p>
        </w:tc>
      </w:tr>
      <w:tr w:rsidR="00E63969" w:rsidTr="00E63969">
        <w:tc>
          <w:tcPr>
            <w:tcW w:w="5778" w:type="dxa"/>
          </w:tcPr>
          <w:p w:rsidR="00A9216B" w:rsidRPr="00E63969" w:rsidRDefault="00E63969" w:rsidP="00A921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Rabies:</w:t>
            </w:r>
            <w:r w:rsidR="00A9216B">
              <w:rPr>
                <w:b/>
                <w:sz w:val="22"/>
                <w:szCs w:val="22"/>
              </w:rPr>
              <w:t xml:space="preserve"> -</w:t>
            </w:r>
            <w:r w:rsidRPr="00E63969">
              <w:rPr>
                <w:sz w:val="22"/>
                <w:szCs w:val="22"/>
              </w:rPr>
              <w:t>This is considered necessary in some countries where rabies is endemic and you are travelling in areas that are rural and more than 24 hours from medical assistance.  You w</w:t>
            </w:r>
            <w:r>
              <w:rPr>
                <w:sz w:val="22"/>
                <w:szCs w:val="22"/>
              </w:rPr>
              <w:t>ill require 3 doses prior to travel at 0, 7 and 28 days.</w:t>
            </w:r>
          </w:p>
        </w:tc>
        <w:tc>
          <w:tcPr>
            <w:tcW w:w="3464" w:type="dxa"/>
          </w:tcPr>
          <w:p w:rsidR="00E63969" w:rsidRDefault="00E63969" w:rsidP="00E63969">
            <w:pPr>
              <w:rPr>
                <w:sz w:val="22"/>
                <w:szCs w:val="22"/>
              </w:rPr>
            </w:pP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   £65.00 (per dose)</w:t>
            </w: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 £65.00 (per dose)</w:t>
            </w:r>
          </w:p>
        </w:tc>
      </w:tr>
      <w:tr w:rsidR="00E63969" w:rsidTr="00E63969">
        <w:tc>
          <w:tcPr>
            <w:tcW w:w="5778" w:type="dxa"/>
          </w:tcPr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Meningitis ACWY:</w:t>
            </w:r>
            <w:r w:rsidR="00A9216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 is a compulsory requirement for travellers to the Hajj and incudes a certificate.  There will be a charge for the certificate.</w:t>
            </w:r>
          </w:p>
          <w:p w:rsidR="009343D7" w:rsidRPr="00E63969" w:rsidRDefault="009343D7" w:rsidP="00E63969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E63969" w:rsidRDefault="00E63969" w:rsidP="00E63969">
            <w:pPr>
              <w:rPr>
                <w:sz w:val="22"/>
                <w:szCs w:val="22"/>
              </w:rPr>
            </w:pP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  £80.00</w:t>
            </w: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£80.00</w:t>
            </w:r>
          </w:p>
        </w:tc>
      </w:tr>
      <w:tr w:rsidR="00E63969" w:rsidTr="00E63969">
        <w:tc>
          <w:tcPr>
            <w:tcW w:w="5778" w:type="dxa"/>
          </w:tcPr>
          <w:p w:rsidR="00E63969" w:rsidRPr="00E63969" w:rsidRDefault="00E63969" w:rsidP="00A921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Hepatitis B: </w:t>
            </w:r>
            <w:r>
              <w:rPr>
                <w:sz w:val="22"/>
                <w:szCs w:val="22"/>
              </w:rPr>
              <w:t>If required for travel there is a charge for this vaccination and there are a number of schedules that may be administered.  They all require at least 3 doses followed by a blood test to check immune levels when the course is completed.</w:t>
            </w:r>
          </w:p>
        </w:tc>
        <w:tc>
          <w:tcPr>
            <w:tcW w:w="3464" w:type="dxa"/>
          </w:tcPr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 : £4</w:t>
            </w:r>
            <w:r w:rsidR="00D77B92">
              <w:rPr>
                <w:sz w:val="22"/>
                <w:szCs w:val="22"/>
              </w:rPr>
              <w:t>5</w:t>
            </w:r>
            <w:r w:rsidR="009343D7">
              <w:rPr>
                <w:sz w:val="22"/>
                <w:szCs w:val="22"/>
              </w:rPr>
              <w:t>.00</w:t>
            </w:r>
            <w:r w:rsidR="00A921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</w:t>
            </w:r>
            <w:r w:rsidR="00A921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dose</w:t>
            </w:r>
          </w:p>
          <w:p w:rsidR="00E63969" w:rsidRDefault="00E63969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 £4</w:t>
            </w:r>
            <w:r w:rsidR="00D77B92">
              <w:rPr>
                <w:sz w:val="22"/>
                <w:szCs w:val="22"/>
              </w:rPr>
              <w:t>5</w:t>
            </w:r>
            <w:r w:rsidR="009343D7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per dose plus £4</w:t>
            </w:r>
            <w:r w:rsidR="00D77B92">
              <w:rPr>
                <w:sz w:val="22"/>
                <w:szCs w:val="22"/>
              </w:rPr>
              <w:t>5</w:t>
            </w:r>
            <w:r w:rsidR="009343D7">
              <w:rPr>
                <w:sz w:val="22"/>
                <w:szCs w:val="22"/>
              </w:rPr>
              <w:t>.00</w:t>
            </w:r>
            <w:r>
              <w:rPr>
                <w:sz w:val="22"/>
                <w:szCs w:val="22"/>
              </w:rPr>
              <w:t xml:space="preserve"> for the blood tes</w:t>
            </w:r>
            <w:r w:rsidR="00A9216B">
              <w:rPr>
                <w:sz w:val="22"/>
                <w:szCs w:val="22"/>
              </w:rPr>
              <w:t>t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</w:p>
        </w:tc>
      </w:tr>
      <w:tr w:rsidR="00E63969" w:rsidTr="00E63969">
        <w:tc>
          <w:tcPr>
            <w:tcW w:w="5778" w:type="dxa"/>
          </w:tcPr>
          <w:p w:rsidR="00E63969" w:rsidRDefault="009343D7" w:rsidP="00E63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Typhoid: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in Asia, Africa and parts of South America/Caribbean.</w:t>
            </w:r>
          </w:p>
          <w:p w:rsidR="00A9216B" w:rsidRDefault="00A9216B" w:rsidP="00E63969">
            <w:pPr>
              <w:rPr>
                <w:b/>
                <w:sz w:val="22"/>
                <w:szCs w:val="22"/>
              </w:rPr>
            </w:pPr>
          </w:p>
          <w:p w:rsidR="009343D7" w:rsidRPr="009343D7" w:rsidRDefault="009343D7" w:rsidP="00E63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Combined Typhoid/Hep A:</w:t>
            </w:r>
          </w:p>
        </w:tc>
        <w:tc>
          <w:tcPr>
            <w:tcW w:w="3464" w:type="dxa"/>
          </w:tcPr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  No charge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£30.00</w:t>
            </w:r>
          </w:p>
          <w:p w:rsidR="00A9216B" w:rsidRDefault="00A9216B" w:rsidP="00E63969">
            <w:pPr>
              <w:rPr>
                <w:sz w:val="22"/>
                <w:szCs w:val="22"/>
              </w:rPr>
            </w:pP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 No charge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 £</w:t>
            </w:r>
            <w:r w:rsidR="00D77B92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.00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</w:p>
        </w:tc>
      </w:tr>
      <w:tr w:rsidR="00E63969" w:rsidTr="00E63969">
        <w:tc>
          <w:tcPr>
            <w:tcW w:w="5778" w:type="dxa"/>
          </w:tcPr>
          <w:p w:rsidR="00E63969" w:rsidRDefault="009343D7" w:rsidP="00E63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Hepatitis A: </w:t>
            </w:r>
          </w:p>
          <w:p w:rsidR="009343D7" w:rsidRP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in Asia, Africa and South America/Caribbean</w:t>
            </w:r>
          </w:p>
        </w:tc>
        <w:tc>
          <w:tcPr>
            <w:tcW w:w="3464" w:type="dxa"/>
          </w:tcPr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 : No charge</w:t>
            </w:r>
          </w:p>
          <w:p w:rsidR="009343D7" w:rsidRDefault="009343D7" w:rsidP="00A92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 £49.00</w:t>
            </w:r>
          </w:p>
        </w:tc>
      </w:tr>
      <w:tr w:rsidR="00E63969" w:rsidTr="00E63969">
        <w:tc>
          <w:tcPr>
            <w:tcW w:w="5778" w:type="dxa"/>
          </w:tcPr>
          <w:p w:rsidR="009343D7" w:rsidRDefault="009343D7" w:rsidP="00E63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Diphtheria/Tetanus/Polio:</w:t>
            </w:r>
          </w:p>
          <w:p w:rsidR="009343D7" w:rsidRP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Present in most countries.  Considered if not had primary immunisations or more than 10 years since booster.</w:t>
            </w:r>
          </w:p>
        </w:tc>
        <w:tc>
          <w:tcPr>
            <w:tcW w:w="3464" w:type="dxa"/>
          </w:tcPr>
          <w:p w:rsidR="00E63969" w:rsidRDefault="00E63969" w:rsidP="00E63969">
            <w:pPr>
              <w:rPr>
                <w:sz w:val="22"/>
                <w:szCs w:val="22"/>
              </w:rPr>
            </w:pP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  No Charge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 £35.00</w:t>
            </w:r>
          </w:p>
          <w:p w:rsidR="009343D7" w:rsidRDefault="009343D7" w:rsidP="00E63969">
            <w:pPr>
              <w:rPr>
                <w:sz w:val="22"/>
                <w:szCs w:val="22"/>
              </w:rPr>
            </w:pPr>
          </w:p>
        </w:tc>
      </w:tr>
      <w:tr w:rsidR="00D77B92" w:rsidTr="00E63969">
        <w:tc>
          <w:tcPr>
            <w:tcW w:w="5778" w:type="dxa"/>
          </w:tcPr>
          <w:p w:rsidR="00D77B92" w:rsidRDefault="00D77B92" w:rsidP="00E639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Japanese Encephalitis</w:t>
            </w:r>
          </w:p>
          <w:p w:rsidR="00D77B92" w:rsidRDefault="00C35C6E" w:rsidP="00C35C6E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F</w:t>
            </w:r>
            <w:r w:rsidR="00D77B92" w:rsidRPr="00D77B92">
              <w:rPr>
                <w:rFonts w:cs="Arial"/>
                <w:sz w:val="22"/>
                <w:szCs w:val="22"/>
                <w:shd w:val="clear" w:color="auto" w:fill="FFFFFF"/>
              </w:rPr>
              <w:t>ound throughout Asia and beyond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, </w:t>
            </w:r>
            <w:r w:rsidR="00D77B92" w:rsidRPr="00D77B92">
              <w:rPr>
                <w:rFonts w:cs="Arial"/>
                <w:sz w:val="22"/>
                <w:szCs w:val="22"/>
                <w:shd w:val="clear" w:color="auto" w:fill="FFFFFF"/>
              </w:rPr>
              <w:t xml:space="preserve">stretches from the Western Pacific islands in the east, such as Fiji, across to </w:t>
            </w:r>
            <w:r w:rsidR="00D77B92" w:rsidRPr="00D77B92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Pakistan</w:t>
            </w:r>
            <w:r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r w:rsidR="00D77B92" w:rsidRPr="00D77B92">
              <w:rPr>
                <w:rFonts w:cs="Arial"/>
                <w:sz w:val="22"/>
                <w:szCs w:val="22"/>
                <w:shd w:val="clear" w:color="auto" w:fill="FFFFFF"/>
              </w:rPr>
              <w:t>parts of </w:t>
            </w:r>
            <w:r w:rsidR="00D77B92" w:rsidRPr="00D77B92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Russia</w:t>
            </w:r>
            <w:r w:rsidR="00D77B92" w:rsidRPr="00D77B92">
              <w:rPr>
                <w:rFonts w:cs="Arial"/>
                <w:sz w:val="22"/>
                <w:szCs w:val="22"/>
                <w:shd w:val="clear" w:color="auto" w:fill="FFFFFF"/>
              </w:rPr>
              <w:t> and as far south as the north coast of </w:t>
            </w:r>
            <w:r w:rsidR="00D77B92" w:rsidRPr="00D77B92">
              <w:rPr>
                <w:rFonts w:cs="Arial"/>
                <w:b/>
                <w:bCs/>
                <w:sz w:val="22"/>
                <w:szCs w:val="22"/>
                <w:shd w:val="clear" w:color="auto" w:fill="FFFFFF"/>
              </w:rPr>
              <w:t>Australia</w:t>
            </w:r>
            <w:r w:rsidR="00D77B92" w:rsidRPr="00D77B92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2 Doses required </w:t>
            </w:r>
          </w:p>
          <w:p w:rsidR="00C35C6E" w:rsidRDefault="00C35C6E" w:rsidP="00C35C6E">
            <w:pPr>
              <w:rPr>
                <w:b/>
                <w:sz w:val="22"/>
                <w:szCs w:val="22"/>
              </w:rPr>
            </w:pPr>
          </w:p>
        </w:tc>
        <w:tc>
          <w:tcPr>
            <w:tcW w:w="3464" w:type="dxa"/>
          </w:tcPr>
          <w:p w:rsidR="00D77B92" w:rsidRDefault="00D77B92" w:rsidP="00D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</w:t>
            </w:r>
            <w:r w:rsidR="00C35C6E">
              <w:rPr>
                <w:sz w:val="22"/>
                <w:szCs w:val="22"/>
              </w:rPr>
              <w:t xml:space="preserve"> £89.00 per dose</w:t>
            </w:r>
          </w:p>
          <w:p w:rsidR="00D77B92" w:rsidRDefault="00D77B92" w:rsidP="00D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 £89.00 per dose</w:t>
            </w:r>
          </w:p>
        </w:tc>
      </w:tr>
      <w:tr w:rsidR="00D77B92" w:rsidTr="00E63969">
        <w:tc>
          <w:tcPr>
            <w:tcW w:w="5778" w:type="dxa"/>
          </w:tcPr>
          <w:p w:rsidR="00D77B92" w:rsidRDefault="00D77B92" w:rsidP="00D77B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Tick-Borne</w:t>
            </w:r>
            <w:r w:rsidR="00C35C6E">
              <w:rPr>
                <w:b/>
                <w:sz w:val="22"/>
                <w:szCs w:val="22"/>
              </w:rPr>
              <w:t xml:space="preserve"> Encephalitis</w:t>
            </w:r>
          </w:p>
          <w:p w:rsidR="00D77B92" w:rsidRDefault="00D77B92" w:rsidP="00A9216B">
            <w:pPr>
              <w:rPr>
                <w:b/>
                <w:sz w:val="22"/>
                <w:szCs w:val="22"/>
              </w:rPr>
            </w:pPr>
            <w:r w:rsidRPr="00D77B92">
              <w:rPr>
                <w:rFonts w:cs="Arial"/>
                <w:sz w:val="22"/>
                <w:szCs w:val="22"/>
                <w:shd w:val="clear" w:color="auto" w:fill="FFFFFF"/>
              </w:rPr>
              <w:t>Infected ticks are mainly found in rural areas of central, northern and eastern Europe. There are also two sub-types of TBE found in eastern Russia and in some countries in East Asia, particularly forested regions of China and Japan.</w:t>
            </w:r>
            <w:r w:rsidR="00C35C6E">
              <w:rPr>
                <w:rFonts w:cs="Arial"/>
                <w:sz w:val="22"/>
                <w:szCs w:val="22"/>
                <w:shd w:val="clear" w:color="auto" w:fill="FFFFFF"/>
              </w:rPr>
              <w:t xml:space="preserve">  2 doses required.</w:t>
            </w:r>
          </w:p>
        </w:tc>
        <w:tc>
          <w:tcPr>
            <w:tcW w:w="3464" w:type="dxa"/>
          </w:tcPr>
          <w:p w:rsidR="00D77B92" w:rsidRDefault="00D77B92" w:rsidP="00D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Registered patients:</w:t>
            </w:r>
            <w:r w:rsidR="00C35C6E">
              <w:rPr>
                <w:sz w:val="22"/>
                <w:szCs w:val="22"/>
              </w:rPr>
              <w:t xml:space="preserve"> £60.00 per dose</w:t>
            </w:r>
          </w:p>
          <w:p w:rsidR="00D77B92" w:rsidRDefault="00D77B92" w:rsidP="00D77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Private patients:</w:t>
            </w:r>
            <w:r>
              <w:rPr>
                <w:sz w:val="22"/>
                <w:szCs w:val="22"/>
              </w:rPr>
              <w:t xml:space="preserve"> £60.00 per dose</w:t>
            </w:r>
          </w:p>
          <w:p w:rsidR="00C35C6E" w:rsidRDefault="00C35C6E" w:rsidP="00D77B92">
            <w:pPr>
              <w:rPr>
                <w:sz w:val="22"/>
                <w:szCs w:val="22"/>
              </w:rPr>
            </w:pPr>
          </w:p>
        </w:tc>
      </w:tr>
    </w:tbl>
    <w:p w:rsidR="00E63969" w:rsidRPr="00E63969" w:rsidRDefault="00E63969" w:rsidP="00E63969">
      <w:pPr>
        <w:rPr>
          <w:sz w:val="22"/>
          <w:szCs w:val="22"/>
        </w:rPr>
      </w:pPr>
    </w:p>
    <w:p w:rsidR="00E63969" w:rsidRDefault="009343D7" w:rsidP="009343D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Private Patients:  </w:t>
      </w:r>
      <w:r>
        <w:rPr>
          <w:sz w:val="22"/>
          <w:szCs w:val="22"/>
        </w:rPr>
        <w:t xml:space="preserve"> Will need to pay an appointment charge of £20.00 for each visit plus the charge of the vaccinations required.  All payments must be made in advance.</w:t>
      </w:r>
    </w:p>
    <w:p w:rsidR="009343D7" w:rsidRDefault="009343D7" w:rsidP="009343D7">
      <w:pPr>
        <w:rPr>
          <w:sz w:val="22"/>
          <w:szCs w:val="22"/>
        </w:rPr>
      </w:pPr>
    </w:p>
    <w:p w:rsidR="009343D7" w:rsidRDefault="009343D7" w:rsidP="009343D7">
      <w:pPr>
        <w:rPr>
          <w:sz w:val="22"/>
          <w:szCs w:val="22"/>
        </w:rPr>
      </w:pPr>
      <w:r>
        <w:rPr>
          <w:sz w:val="22"/>
          <w:szCs w:val="22"/>
        </w:rPr>
        <w:t>The list of charges is subject to change at short notice but you will be informed of this prior to your appointment.</w:t>
      </w:r>
    </w:p>
    <w:p w:rsidR="00FA2B92" w:rsidRDefault="00FA2B92" w:rsidP="009343D7">
      <w:pPr>
        <w:rPr>
          <w:sz w:val="22"/>
          <w:szCs w:val="22"/>
        </w:rPr>
      </w:pPr>
      <w:bookmarkStart w:id="0" w:name="_GoBack"/>
      <w:bookmarkEnd w:id="0"/>
    </w:p>
    <w:p w:rsidR="00FA2B92" w:rsidRPr="00FA2B92" w:rsidRDefault="00FA2B92" w:rsidP="009343D7">
      <w:pPr>
        <w:rPr>
          <w:b/>
          <w:i/>
          <w:sz w:val="22"/>
          <w:szCs w:val="22"/>
        </w:rPr>
      </w:pPr>
      <w:r w:rsidRPr="00FA2B92">
        <w:rPr>
          <w:b/>
          <w:i/>
          <w:sz w:val="22"/>
          <w:szCs w:val="22"/>
        </w:rPr>
        <w:t xml:space="preserve">Fees are correct as of the </w:t>
      </w:r>
      <w:r w:rsidR="00A9216B">
        <w:rPr>
          <w:b/>
          <w:i/>
          <w:sz w:val="22"/>
          <w:szCs w:val="22"/>
        </w:rPr>
        <w:t xml:space="preserve">3 July </w:t>
      </w:r>
      <w:r w:rsidRPr="00FA2B92">
        <w:rPr>
          <w:b/>
          <w:i/>
          <w:sz w:val="22"/>
          <w:szCs w:val="22"/>
        </w:rPr>
        <w:t>2017</w:t>
      </w:r>
    </w:p>
    <w:p w:rsidR="009343D7" w:rsidRPr="009343D7" w:rsidRDefault="009343D7" w:rsidP="009343D7">
      <w:pPr>
        <w:rPr>
          <w:sz w:val="22"/>
          <w:szCs w:val="22"/>
        </w:rPr>
      </w:pPr>
    </w:p>
    <w:sectPr w:rsidR="009343D7" w:rsidRPr="009343D7" w:rsidSect="00A9216B">
      <w:headerReference w:type="default" r:id="rId7"/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6E" w:rsidRDefault="00C35C6E" w:rsidP="00C35C6E">
      <w:r>
        <w:separator/>
      </w:r>
    </w:p>
  </w:endnote>
  <w:endnote w:type="continuationSeparator" w:id="0">
    <w:p w:rsidR="00C35C6E" w:rsidRDefault="00C35C6E" w:rsidP="00C3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6E" w:rsidRDefault="00C35C6E" w:rsidP="00C35C6E">
      <w:r>
        <w:separator/>
      </w:r>
    </w:p>
  </w:footnote>
  <w:footnote w:type="continuationSeparator" w:id="0">
    <w:p w:rsidR="00C35C6E" w:rsidRDefault="00C35C6E" w:rsidP="00C35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6E" w:rsidRDefault="00A9216B">
    <w:pPr>
      <w:pStyle w:val="Header"/>
    </w:pPr>
    <w:r>
      <w:t>Reviewed 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9"/>
    <w:rsid w:val="00717D0B"/>
    <w:rsid w:val="009343D7"/>
    <w:rsid w:val="00974BF9"/>
    <w:rsid w:val="00A9216B"/>
    <w:rsid w:val="00C35C6E"/>
    <w:rsid w:val="00D77B92"/>
    <w:rsid w:val="00E63969"/>
    <w:rsid w:val="00EA196D"/>
    <w:rsid w:val="00EC1A7B"/>
    <w:rsid w:val="00FA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9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9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9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9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9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9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9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9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9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9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96D"/>
    <w:rPr>
      <w:b/>
      <w:bCs/>
    </w:rPr>
  </w:style>
  <w:style w:type="character" w:styleId="Emphasis">
    <w:name w:val="Emphasis"/>
    <w:basedOn w:val="DefaultParagraphFont"/>
    <w:uiPriority w:val="20"/>
    <w:qFormat/>
    <w:rsid w:val="00EA19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96D"/>
    <w:rPr>
      <w:szCs w:val="32"/>
    </w:rPr>
  </w:style>
  <w:style w:type="paragraph" w:styleId="ListParagraph">
    <w:name w:val="List Paragraph"/>
    <w:basedOn w:val="Normal"/>
    <w:uiPriority w:val="34"/>
    <w:qFormat/>
    <w:rsid w:val="00EA1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9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96D"/>
    <w:rPr>
      <w:b/>
      <w:i/>
      <w:sz w:val="24"/>
    </w:rPr>
  </w:style>
  <w:style w:type="character" w:styleId="SubtleEmphasis">
    <w:name w:val="Subtle Emphasis"/>
    <w:uiPriority w:val="19"/>
    <w:qFormat/>
    <w:rsid w:val="00EA1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9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9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9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96D"/>
    <w:pPr>
      <w:outlineLvl w:val="9"/>
    </w:pPr>
  </w:style>
  <w:style w:type="table" w:styleId="TableGrid">
    <w:name w:val="Table Grid"/>
    <w:basedOn w:val="TableNormal"/>
    <w:uiPriority w:val="59"/>
    <w:rsid w:val="00E6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9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9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9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9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9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9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9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9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9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9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9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19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19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1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196D"/>
    <w:rPr>
      <w:b/>
      <w:bCs/>
    </w:rPr>
  </w:style>
  <w:style w:type="character" w:styleId="Emphasis">
    <w:name w:val="Emphasis"/>
    <w:basedOn w:val="DefaultParagraphFont"/>
    <w:uiPriority w:val="20"/>
    <w:qFormat/>
    <w:rsid w:val="00EA19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196D"/>
    <w:rPr>
      <w:szCs w:val="32"/>
    </w:rPr>
  </w:style>
  <w:style w:type="paragraph" w:styleId="ListParagraph">
    <w:name w:val="List Paragraph"/>
    <w:basedOn w:val="Normal"/>
    <w:uiPriority w:val="34"/>
    <w:qFormat/>
    <w:rsid w:val="00EA1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1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9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96D"/>
    <w:rPr>
      <w:b/>
      <w:i/>
      <w:sz w:val="24"/>
    </w:rPr>
  </w:style>
  <w:style w:type="character" w:styleId="SubtleEmphasis">
    <w:name w:val="Subtle Emphasis"/>
    <w:uiPriority w:val="19"/>
    <w:qFormat/>
    <w:rsid w:val="00EA1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19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1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19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19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96D"/>
    <w:pPr>
      <w:outlineLvl w:val="9"/>
    </w:pPr>
  </w:style>
  <w:style w:type="table" w:styleId="TableGrid">
    <w:name w:val="Table Grid"/>
    <w:basedOn w:val="TableNormal"/>
    <w:uiPriority w:val="59"/>
    <w:rsid w:val="00E6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C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C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C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atkins</dc:creator>
  <cp:lastModifiedBy>Theresa Baker</cp:lastModifiedBy>
  <cp:revision>4</cp:revision>
  <dcterms:created xsi:type="dcterms:W3CDTF">2017-06-16T11:43:00Z</dcterms:created>
  <dcterms:modified xsi:type="dcterms:W3CDTF">2017-07-25T18:05:00Z</dcterms:modified>
</cp:coreProperties>
</file>